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926B0">
      <w:pPr>
        <w:jc w:val="center"/>
        <w:rPr>
          <w:rFonts w:ascii="Arial Narrow" w:hAnsi="Arial Narrow" w:cs="Arial"/>
          <w:sz w:val="22"/>
          <w:szCs w:val="20"/>
        </w:rPr>
      </w:pPr>
      <w:r>
        <w:rPr>
          <w:rFonts w:ascii="Arial Narrow" w:hAnsi="Arial Narrow" w:cs="Arial"/>
          <w:noProof/>
          <w:sz w:val="22"/>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1pt;margin-top:-36pt;width:213.75pt;height:66pt;z-index:1">
            <v:imagedata r:id="rId5" o:title="JP+logo[1]"/>
          </v:shape>
        </w:pict>
      </w:r>
    </w:p>
    <w:p w:rsidR="00000000" w:rsidRDefault="00B926B0">
      <w:pPr>
        <w:jc w:val="right"/>
        <w:rPr>
          <w:rFonts w:ascii="Arial Narrow" w:hAnsi="Arial Narrow" w:cs="Arial"/>
          <w:b/>
          <w:bCs/>
          <w:sz w:val="22"/>
          <w:szCs w:val="20"/>
        </w:rPr>
      </w:pPr>
    </w:p>
    <w:p w:rsidR="00000000" w:rsidRDefault="00B926B0">
      <w:pPr>
        <w:jc w:val="right"/>
        <w:rPr>
          <w:rFonts w:ascii="Arial Narrow" w:hAnsi="Arial Narrow" w:cs="Arial"/>
          <w:b/>
          <w:bCs/>
          <w:sz w:val="22"/>
          <w:szCs w:val="20"/>
        </w:rPr>
      </w:pPr>
    </w:p>
    <w:p w:rsidR="00000000" w:rsidRDefault="00B926B0">
      <w:pPr>
        <w:pStyle w:val="Titre4"/>
        <w:jc w:val="right"/>
        <w:rPr>
          <w:rFonts w:ascii="Arial Narrow" w:hAnsi="Arial Narrow"/>
          <w:b w:val="0"/>
          <w:bCs/>
          <w:color w:val="auto"/>
          <w:sz w:val="22"/>
        </w:rPr>
      </w:pPr>
    </w:p>
    <w:p w:rsidR="00000000" w:rsidRDefault="00B926B0">
      <w:pPr>
        <w:jc w:val="center"/>
        <w:rPr>
          <w:rFonts w:ascii="Arial Narrow" w:eastAsia="MS Mincho" w:hAnsi="Arial Narrow"/>
          <w:bCs/>
          <w:snapToGrid w:val="0"/>
          <w:sz w:val="22"/>
          <w:lang w:eastAsia="ja-JP"/>
        </w:rPr>
      </w:pPr>
    </w:p>
    <w:p w:rsidR="00000000" w:rsidRDefault="00B926B0">
      <w:pPr>
        <w:pStyle w:val="Titre4"/>
        <w:rPr>
          <w:rFonts w:ascii="Arial Narrow" w:hAnsi="Arial Narrow"/>
          <w:color w:val="auto"/>
          <w:lang w:val="fr-FR"/>
        </w:rPr>
      </w:pPr>
      <w:r>
        <w:rPr>
          <w:rFonts w:ascii="Arial Narrow" w:hAnsi="Arial Narrow"/>
          <w:color w:val="auto"/>
          <w:lang w:val="fr-FR"/>
        </w:rPr>
        <w:t xml:space="preserve">Technip a choisi la suite logicielle de gestion des talents </w:t>
      </w:r>
    </w:p>
    <w:p w:rsidR="00000000" w:rsidRDefault="00B926B0">
      <w:pPr>
        <w:pStyle w:val="Titre4"/>
        <w:rPr>
          <w:rFonts w:ascii="Arial Narrow" w:hAnsi="Arial Narrow"/>
          <w:color w:val="auto"/>
          <w:lang w:val="fr-FR"/>
        </w:rPr>
      </w:pPr>
      <w:r>
        <w:rPr>
          <w:rFonts w:ascii="Arial Narrow" w:hAnsi="Arial Narrow"/>
          <w:color w:val="auto"/>
          <w:lang w:val="fr-FR"/>
        </w:rPr>
        <w:t>de Jobpartners au niveau mondial</w:t>
      </w:r>
    </w:p>
    <w:p w:rsidR="00000000" w:rsidRDefault="00B926B0">
      <w:pPr>
        <w:rPr>
          <w:rFonts w:ascii="Arial Narrow" w:eastAsia="MS Mincho" w:hAnsi="Arial Narrow"/>
          <w:i/>
          <w:snapToGrid w:val="0"/>
          <w:sz w:val="22"/>
          <w:lang w:eastAsia="ja-JP"/>
        </w:rPr>
      </w:pPr>
    </w:p>
    <w:p w:rsidR="00000000" w:rsidRDefault="00B926B0">
      <w:pPr>
        <w:pStyle w:val="Corpsdetexte"/>
        <w:rPr>
          <w:rFonts w:ascii="Arial Narrow" w:hAnsi="Arial Narrow"/>
          <w:b/>
          <w:bCs/>
          <w:sz w:val="24"/>
        </w:rPr>
      </w:pPr>
      <w:r>
        <w:rPr>
          <w:rFonts w:ascii="Arial Narrow" w:hAnsi="Arial Narrow"/>
          <w:b/>
          <w:bCs/>
          <w:sz w:val="24"/>
        </w:rPr>
        <w:t>Une plate-forme complète et commune en mode SaaS couvrant plus de 50 SIRH,</w:t>
      </w:r>
    </w:p>
    <w:p w:rsidR="00000000" w:rsidRDefault="00B926B0">
      <w:pPr>
        <w:pStyle w:val="Corpsdetexte"/>
        <w:rPr>
          <w:rFonts w:ascii="Arial Narrow" w:hAnsi="Arial Narrow"/>
          <w:b/>
          <w:bCs/>
          <w:sz w:val="24"/>
        </w:rPr>
      </w:pPr>
      <w:r>
        <w:rPr>
          <w:rFonts w:ascii="Arial Narrow" w:hAnsi="Arial Narrow"/>
          <w:b/>
          <w:bCs/>
          <w:sz w:val="24"/>
        </w:rPr>
        <w:t xml:space="preserve"> déployée en 4 mois</w:t>
      </w:r>
    </w:p>
    <w:p w:rsidR="00000000" w:rsidRDefault="00B926B0">
      <w:pPr>
        <w:jc w:val="center"/>
        <w:rPr>
          <w:rFonts w:ascii="Arial Narrow" w:hAnsi="Arial Narrow" w:cs="Arial Unicode MS"/>
          <w:b/>
          <w:sz w:val="22"/>
        </w:rPr>
      </w:pPr>
    </w:p>
    <w:p w:rsidR="00000000" w:rsidRDefault="00B926B0">
      <w:pPr>
        <w:jc w:val="both"/>
        <w:rPr>
          <w:rFonts w:ascii="Arial Narrow" w:hAnsi="Arial Narrow"/>
          <w:b/>
          <w:bCs/>
          <w:sz w:val="22"/>
          <w:szCs w:val="22"/>
          <w:lang w:eastAsia="en-US"/>
        </w:rPr>
      </w:pPr>
    </w:p>
    <w:p w:rsidR="00000000" w:rsidRDefault="00B926B0">
      <w:pPr>
        <w:autoSpaceDE w:val="0"/>
        <w:autoSpaceDN w:val="0"/>
        <w:adjustRightInd w:val="0"/>
        <w:rPr>
          <w:rFonts w:ascii="Arial Narrow" w:hAnsi="Arial Narrow"/>
          <w:bCs/>
          <w:sz w:val="22"/>
        </w:rPr>
      </w:pPr>
      <w:r>
        <w:rPr>
          <w:rFonts w:ascii="Arial Narrow" w:hAnsi="Arial Narrow"/>
          <w:b/>
          <w:sz w:val="22"/>
        </w:rPr>
        <w:t>Paris, 9 juin 2010</w:t>
      </w:r>
      <w:r>
        <w:rPr>
          <w:rFonts w:ascii="Arial Narrow" w:hAnsi="Arial Narrow"/>
          <w:bCs/>
          <w:sz w:val="22"/>
        </w:rPr>
        <w:t xml:space="preserve"> —Technip, leader mondial du management </w:t>
      </w:r>
      <w:r>
        <w:rPr>
          <w:rFonts w:ascii="Arial Narrow" w:hAnsi="Arial Narrow"/>
          <w:bCs/>
          <w:sz w:val="22"/>
        </w:rPr>
        <w:t xml:space="preserve">de projets, de l’ingénierie et de la construction pour l’industrie du pétrole et du gaz choisit Jobpartners, un des leaders européens en matière de gestion du capital humain et des talents, pour </w:t>
      </w:r>
      <w:r>
        <w:rPr>
          <w:rFonts w:ascii="Arial Narrow" w:hAnsi="Arial Narrow"/>
          <w:bCs/>
          <w:sz w:val="22"/>
          <w:szCs w:val="22"/>
        </w:rPr>
        <w:t>gérer le recrutement, le suivi de carrières et la mobilité in</w:t>
      </w:r>
      <w:r>
        <w:rPr>
          <w:rFonts w:ascii="Arial Narrow" w:hAnsi="Arial Narrow"/>
          <w:bCs/>
          <w:sz w:val="22"/>
          <w:szCs w:val="22"/>
        </w:rPr>
        <w:t xml:space="preserve">terne de ses 23 000 collaborateurs et </w:t>
      </w:r>
      <w:r>
        <w:rPr>
          <w:rFonts w:ascii="Arial Narrow" w:hAnsi="Arial Narrow"/>
          <w:bCs/>
          <w:sz w:val="22"/>
        </w:rPr>
        <w:t xml:space="preserve">homogénéiser ses processus RH à travers les 48 pays où le groupe est présent. </w:t>
      </w:r>
      <w:r>
        <w:rPr>
          <w:rFonts w:ascii="Arial Narrow" w:hAnsi="Arial Narrow"/>
          <w:bCs/>
          <w:sz w:val="22"/>
          <w:szCs w:val="22"/>
        </w:rPr>
        <w:t xml:space="preserve">Technip </w:t>
      </w:r>
      <w:r>
        <w:rPr>
          <w:rFonts w:ascii="Arial Narrow" w:hAnsi="Arial Narrow"/>
          <w:bCs/>
          <w:sz w:val="22"/>
        </w:rPr>
        <w:t>déploie ainsi l’ensemble de la solution de gestion des talents et de performance de Jobpartners, composée d’ActiveRecruiter, ActiveC</w:t>
      </w:r>
      <w:r>
        <w:rPr>
          <w:rFonts w:ascii="Arial Narrow" w:hAnsi="Arial Narrow"/>
          <w:bCs/>
          <w:sz w:val="22"/>
        </w:rPr>
        <w:t>enter, ActivePerformer et ActivePlanner.</w:t>
      </w:r>
    </w:p>
    <w:p w:rsidR="00000000" w:rsidRDefault="00B926B0">
      <w:pPr>
        <w:autoSpaceDE w:val="0"/>
        <w:autoSpaceDN w:val="0"/>
        <w:adjustRightInd w:val="0"/>
        <w:rPr>
          <w:rFonts w:ascii="Arial Narrow" w:hAnsi="Arial Narrow"/>
          <w:bCs/>
          <w:sz w:val="22"/>
        </w:rPr>
      </w:pPr>
    </w:p>
    <w:p w:rsidR="00000000" w:rsidRDefault="00B926B0">
      <w:pPr>
        <w:pStyle w:val="Corpsdetexte3"/>
        <w:rPr>
          <w:rFonts w:ascii="Arial Narrow" w:hAnsi="Arial Narrow"/>
          <w:i w:val="0"/>
          <w:iCs w:val="0"/>
          <w:color w:val="auto"/>
        </w:rPr>
      </w:pPr>
    </w:p>
    <w:p w:rsidR="00000000" w:rsidRDefault="00B926B0">
      <w:pPr>
        <w:jc w:val="both"/>
        <w:rPr>
          <w:rFonts w:ascii="Arial Narrow" w:hAnsi="Arial Narrow"/>
          <w:bCs/>
          <w:sz w:val="22"/>
          <w:szCs w:val="22"/>
        </w:rPr>
      </w:pPr>
      <w:r>
        <w:rPr>
          <w:rFonts w:ascii="Arial Narrow" w:hAnsi="Arial Narrow"/>
          <w:bCs/>
          <w:sz w:val="22"/>
          <w:szCs w:val="22"/>
        </w:rPr>
        <w:t>Auparavant, chaque pays et entité disposait de ses propres processus de gestion des ressources humaines. En 2008, la direction de Technip a souhaité conduire un vaste projet d’entreprise à 3 ans dont l’un des prin</w:t>
      </w:r>
      <w:r>
        <w:rPr>
          <w:rFonts w:ascii="Arial Narrow" w:hAnsi="Arial Narrow"/>
          <w:bCs/>
          <w:sz w:val="22"/>
          <w:szCs w:val="22"/>
        </w:rPr>
        <w:t>cipaux axes était la refonte des processus RH et leur uniformisation au niveau mondial. Ce projet d’envergure consistait ainsi en la création d’une base de données commune des employés, la définition des meilleurs processus de gestion des talents et leur h</w:t>
      </w:r>
      <w:r>
        <w:rPr>
          <w:rFonts w:ascii="Arial Narrow" w:hAnsi="Arial Narrow"/>
          <w:bCs/>
          <w:sz w:val="22"/>
          <w:szCs w:val="22"/>
        </w:rPr>
        <w:t>omogénéisation au niveau du groupe. Le focus a été mis sur l’évaluation de performance, les plans de successions, la fidélisation, la mobilité et le « jobmapping ». Par ailleurs, le challenge était de choisir et déployer une solution informatique, pour qu’</w:t>
      </w:r>
      <w:r>
        <w:rPr>
          <w:rFonts w:ascii="Arial Narrow" w:hAnsi="Arial Narrow"/>
          <w:bCs/>
          <w:sz w:val="22"/>
          <w:szCs w:val="22"/>
        </w:rPr>
        <w:t xml:space="preserve">elle soit opérationnelle dès l’hiver 2009. </w:t>
      </w:r>
    </w:p>
    <w:p w:rsidR="00000000" w:rsidRDefault="00B926B0">
      <w:pPr>
        <w:jc w:val="both"/>
        <w:rPr>
          <w:rFonts w:ascii="Arial Narrow" w:hAnsi="Arial Narrow"/>
          <w:bCs/>
          <w:sz w:val="22"/>
          <w:szCs w:val="22"/>
        </w:rPr>
      </w:pPr>
    </w:p>
    <w:p w:rsidR="00000000" w:rsidRDefault="00B926B0">
      <w:pPr>
        <w:jc w:val="both"/>
        <w:rPr>
          <w:rFonts w:ascii="Arial Narrow" w:hAnsi="Arial Narrow"/>
          <w:bCs/>
          <w:sz w:val="22"/>
          <w:szCs w:val="22"/>
        </w:rPr>
      </w:pPr>
      <w:r>
        <w:rPr>
          <w:rFonts w:ascii="Arial Narrow" w:hAnsi="Arial Narrow"/>
          <w:bCs/>
          <w:sz w:val="22"/>
          <w:szCs w:val="22"/>
        </w:rPr>
        <w:t>Après avoir réalisé un audit des multiples pratiques RH des différentes entités du groupe à travers le monde, les meilleures d’entre elles ont été identifiées et validées par un comité de pilotage du projet en v</w:t>
      </w:r>
      <w:r>
        <w:rPr>
          <w:rFonts w:ascii="Arial Narrow" w:hAnsi="Arial Narrow"/>
          <w:bCs/>
          <w:sz w:val="22"/>
          <w:szCs w:val="22"/>
        </w:rPr>
        <w:t>ue de bâtir l’appel d’offres. Pour ce faire, Technip s’est fait accompagner sur la maîtrise d’ouvrage et la définition des pré-requis techniques de la solution informatique capable de supporter ce projet. Lancé en avril 2009, l’appel d’offres a permis de s</w:t>
      </w:r>
      <w:r>
        <w:rPr>
          <w:rFonts w:ascii="Arial Narrow" w:hAnsi="Arial Narrow"/>
          <w:bCs/>
          <w:sz w:val="22"/>
          <w:szCs w:val="22"/>
        </w:rPr>
        <w:t>électionner 4 fournisseurs fin juin 2009, parmi lesquels Jobpartners, qui a finalement été retenu rapidement pour sa forte implication, son accompagnement très en amont du projet et la modularité de sa solution.</w:t>
      </w:r>
    </w:p>
    <w:p w:rsidR="00000000" w:rsidRDefault="00B926B0">
      <w:pPr>
        <w:jc w:val="both"/>
        <w:rPr>
          <w:rFonts w:ascii="Arial Narrow" w:hAnsi="Arial Narrow"/>
          <w:bCs/>
          <w:sz w:val="22"/>
          <w:szCs w:val="22"/>
        </w:rPr>
      </w:pPr>
    </w:p>
    <w:p w:rsidR="00000000" w:rsidRDefault="00B926B0">
      <w:pPr>
        <w:pStyle w:val="Corpsdetexte"/>
        <w:jc w:val="left"/>
        <w:rPr>
          <w:rFonts w:ascii="Arial Narrow" w:eastAsia="Times New Roman" w:hAnsi="Arial Narrow"/>
          <w:bCs/>
          <w:i w:val="0"/>
          <w:snapToGrid/>
          <w:szCs w:val="22"/>
          <w:lang w:eastAsia="fr-FR"/>
        </w:rPr>
      </w:pPr>
      <w:r>
        <w:rPr>
          <w:rFonts w:ascii="Arial Narrow" w:hAnsi="Arial Narrow"/>
          <w:bCs/>
          <w:i w:val="0"/>
          <w:iCs/>
          <w:szCs w:val="22"/>
        </w:rPr>
        <w:t>Ainsi</w:t>
      </w:r>
      <w:r>
        <w:rPr>
          <w:rFonts w:ascii="Arial Narrow" w:hAnsi="Arial Narrow"/>
          <w:bCs/>
          <w:szCs w:val="22"/>
        </w:rPr>
        <w:t xml:space="preserve">, </w:t>
      </w:r>
      <w:r>
        <w:rPr>
          <w:rFonts w:ascii="Arial Narrow" w:eastAsia="Times New Roman" w:hAnsi="Arial Narrow"/>
          <w:bCs/>
          <w:i w:val="0"/>
          <w:snapToGrid/>
          <w:szCs w:val="22"/>
          <w:lang w:eastAsia="fr-FR"/>
        </w:rPr>
        <w:t>Technip et Jobpartners ont relevé le</w:t>
      </w:r>
      <w:r>
        <w:rPr>
          <w:rFonts w:ascii="Arial Narrow" w:eastAsia="Times New Roman" w:hAnsi="Arial Narrow"/>
          <w:bCs/>
          <w:i w:val="0"/>
          <w:snapToGrid/>
          <w:szCs w:val="22"/>
          <w:lang w:eastAsia="fr-FR"/>
        </w:rPr>
        <w:t xml:space="preserve"> pari de déployer en seulement 4 mois et dans 7 langues, une plate-forme complète et homogène en mode SaaS, intitulée HRWeb, composée de :</w:t>
      </w:r>
    </w:p>
    <w:p w:rsidR="00000000" w:rsidRDefault="00B926B0">
      <w:pPr>
        <w:numPr>
          <w:ilvl w:val="0"/>
          <w:numId w:val="1"/>
        </w:numPr>
        <w:jc w:val="both"/>
        <w:rPr>
          <w:rFonts w:ascii="Arial Narrow" w:hAnsi="Arial Narrow"/>
          <w:bCs/>
          <w:sz w:val="22"/>
          <w:szCs w:val="22"/>
        </w:rPr>
      </w:pPr>
      <w:r>
        <w:rPr>
          <w:rFonts w:ascii="Arial Narrow" w:hAnsi="Arial Narrow"/>
          <w:b/>
          <w:sz w:val="22"/>
          <w:szCs w:val="22"/>
        </w:rPr>
        <w:t>ActiveRec</w:t>
      </w:r>
      <w:r>
        <w:rPr>
          <w:rFonts w:ascii="Arial Narrow" w:hAnsi="Arial Narrow"/>
          <w:b/>
          <w:sz w:val="22"/>
          <w:szCs w:val="22"/>
        </w:rPr>
        <w:t>ruiter™</w:t>
      </w:r>
      <w:r>
        <w:rPr>
          <w:rFonts w:ascii="Arial Narrow" w:hAnsi="Arial Narrow"/>
          <w:bCs/>
          <w:sz w:val="22"/>
          <w:szCs w:val="22"/>
        </w:rPr>
        <w:t xml:space="preserve">, pour la gestion des processus de recrutement et de mobilité interne, </w:t>
      </w:r>
    </w:p>
    <w:p w:rsidR="00000000" w:rsidRDefault="00B926B0">
      <w:pPr>
        <w:numPr>
          <w:ilvl w:val="0"/>
          <w:numId w:val="1"/>
        </w:numPr>
        <w:jc w:val="both"/>
        <w:rPr>
          <w:rFonts w:ascii="Arial Narrow" w:hAnsi="Arial Narrow"/>
          <w:bCs/>
          <w:sz w:val="22"/>
          <w:szCs w:val="22"/>
        </w:rPr>
      </w:pPr>
      <w:r>
        <w:rPr>
          <w:rFonts w:ascii="Arial Narrow" w:hAnsi="Arial Narrow"/>
          <w:b/>
          <w:sz w:val="22"/>
          <w:szCs w:val="22"/>
        </w:rPr>
        <w:t>ActiveCenter</w:t>
      </w:r>
      <w:r>
        <w:rPr>
          <w:rFonts w:ascii="Arial Narrow" w:hAnsi="Arial Narrow"/>
          <w:bCs/>
          <w:sz w:val="22"/>
          <w:szCs w:val="22"/>
        </w:rPr>
        <w:t>, une base de données RH multinationale,</w:t>
      </w:r>
    </w:p>
    <w:p w:rsidR="00000000" w:rsidRDefault="00B926B0">
      <w:pPr>
        <w:numPr>
          <w:ilvl w:val="0"/>
          <w:numId w:val="1"/>
        </w:numPr>
        <w:jc w:val="both"/>
        <w:rPr>
          <w:rFonts w:ascii="Arial Narrow" w:hAnsi="Arial Narrow"/>
          <w:bCs/>
          <w:sz w:val="22"/>
          <w:szCs w:val="22"/>
        </w:rPr>
      </w:pPr>
      <w:r>
        <w:rPr>
          <w:rFonts w:ascii="Arial Narrow" w:hAnsi="Arial Narrow"/>
          <w:b/>
          <w:sz w:val="22"/>
          <w:szCs w:val="22"/>
        </w:rPr>
        <w:t>ActivePerformer</w:t>
      </w:r>
      <w:r>
        <w:rPr>
          <w:rFonts w:ascii="Arial Narrow" w:hAnsi="Arial Narrow"/>
          <w:bCs/>
          <w:sz w:val="22"/>
          <w:szCs w:val="22"/>
        </w:rPr>
        <w:t xml:space="preserve">, pour la gestion </w:t>
      </w:r>
      <w:r>
        <w:rPr>
          <w:rFonts w:ascii="Arial Narrow" w:hAnsi="Arial Narrow" w:cs="Arial"/>
          <w:color w:val="000000"/>
          <w:sz w:val="22"/>
          <w:szCs w:val="21"/>
        </w:rPr>
        <w:t xml:space="preserve">de la performance, </w:t>
      </w:r>
    </w:p>
    <w:p w:rsidR="00000000" w:rsidRDefault="00B926B0">
      <w:pPr>
        <w:numPr>
          <w:ilvl w:val="0"/>
          <w:numId w:val="1"/>
        </w:numPr>
        <w:jc w:val="both"/>
        <w:rPr>
          <w:rFonts w:ascii="Arial Narrow" w:hAnsi="Arial Narrow"/>
          <w:bCs/>
          <w:sz w:val="22"/>
          <w:szCs w:val="22"/>
        </w:rPr>
      </w:pPr>
      <w:r>
        <w:rPr>
          <w:rFonts w:ascii="Arial Narrow" w:hAnsi="Arial Narrow"/>
          <w:b/>
          <w:sz w:val="22"/>
          <w:szCs w:val="22"/>
        </w:rPr>
        <w:t>ActivePlanner</w:t>
      </w:r>
      <w:r>
        <w:rPr>
          <w:rFonts w:ascii="Arial Narrow" w:hAnsi="Arial Narrow"/>
          <w:bCs/>
          <w:sz w:val="22"/>
          <w:szCs w:val="22"/>
        </w:rPr>
        <w:t xml:space="preserve">, une solution personnalisée de gestion de carrière et de </w:t>
      </w:r>
      <w:r>
        <w:rPr>
          <w:rFonts w:ascii="Arial Narrow" w:hAnsi="Arial Narrow"/>
          <w:bCs/>
          <w:sz w:val="22"/>
          <w:szCs w:val="22"/>
        </w:rPr>
        <w:t>plan de succession.</w:t>
      </w:r>
    </w:p>
    <w:p w:rsidR="00000000" w:rsidRDefault="00B926B0">
      <w:pPr>
        <w:jc w:val="both"/>
        <w:rPr>
          <w:rFonts w:ascii="Arial Narrow" w:hAnsi="Arial Narrow"/>
          <w:bCs/>
          <w:sz w:val="22"/>
          <w:szCs w:val="22"/>
        </w:rPr>
      </w:pPr>
    </w:p>
    <w:p w:rsidR="00000000" w:rsidRDefault="00B926B0">
      <w:pPr>
        <w:jc w:val="both"/>
        <w:rPr>
          <w:rFonts w:ascii="Arial Narrow" w:hAnsi="Arial Narrow"/>
          <w:bCs/>
          <w:sz w:val="22"/>
          <w:szCs w:val="22"/>
        </w:rPr>
      </w:pPr>
      <w:r>
        <w:rPr>
          <w:rFonts w:ascii="Arial Narrow" w:hAnsi="Arial Narrow"/>
          <w:sz w:val="22"/>
        </w:rPr>
        <w:t>Le module de gestion de la mobilité interne d’ActiveRecruiter a d’ores et déjà été déployé, celui du recrutement externe est en cours.</w:t>
      </w:r>
    </w:p>
    <w:p w:rsidR="00000000" w:rsidRDefault="00B926B0">
      <w:pPr>
        <w:jc w:val="both"/>
        <w:rPr>
          <w:rFonts w:ascii="Arial Narrow" w:hAnsi="Arial Narrow"/>
          <w:bCs/>
          <w:sz w:val="22"/>
          <w:szCs w:val="22"/>
        </w:rPr>
      </w:pPr>
    </w:p>
    <w:p w:rsidR="00000000" w:rsidRDefault="00B926B0">
      <w:pPr>
        <w:autoSpaceDE w:val="0"/>
        <w:autoSpaceDN w:val="0"/>
        <w:adjustRightInd w:val="0"/>
        <w:rPr>
          <w:rFonts w:ascii="Arial Narrow" w:hAnsi="Arial Narrow"/>
          <w:bCs/>
          <w:sz w:val="22"/>
          <w:szCs w:val="22"/>
        </w:rPr>
      </w:pPr>
      <w:r>
        <w:rPr>
          <w:rFonts w:ascii="Arial Narrow" w:hAnsi="Arial Narrow"/>
          <w:bCs/>
          <w:sz w:val="22"/>
          <w:szCs w:val="22"/>
        </w:rPr>
        <w:t>Fort du déploiement réussi de la plate-forme, Technip a pu lancer dès novembre 2009 sa première cam</w:t>
      </w:r>
      <w:r>
        <w:rPr>
          <w:rFonts w:ascii="Arial Narrow" w:hAnsi="Arial Narrow"/>
          <w:bCs/>
          <w:sz w:val="22"/>
          <w:szCs w:val="22"/>
        </w:rPr>
        <w:t>pagne d’appréciation mondiale auprès de ses salariés. Cette campagne a reçu un accueil très positif avec des taux d'utilisation et d'adoption de 96 %, 6 000 dossiers ayant été complétés dès le premier jour.</w:t>
      </w:r>
    </w:p>
    <w:p w:rsidR="00000000" w:rsidRDefault="00B926B0">
      <w:pPr>
        <w:autoSpaceDE w:val="0"/>
        <w:autoSpaceDN w:val="0"/>
        <w:adjustRightInd w:val="0"/>
        <w:rPr>
          <w:rFonts w:ascii="Arial Narrow" w:hAnsi="Arial Narrow"/>
          <w:bCs/>
          <w:sz w:val="22"/>
          <w:szCs w:val="22"/>
        </w:rPr>
      </w:pPr>
      <w:r>
        <w:rPr>
          <w:rFonts w:ascii="Arial Narrow" w:hAnsi="Arial Narrow"/>
          <w:bCs/>
          <w:sz w:val="22"/>
          <w:szCs w:val="22"/>
        </w:rPr>
        <w:t xml:space="preserve"> </w:t>
      </w:r>
    </w:p>
    <w:p w:rsidR="00000000" w:rsidRDefault="00B926B0">
      <w:pPr>
        <w:autoSpaceDE w:val="0"/>
        <w:autoSpaceDN w:val="0"/>
        <w:adjustRightInd w:val="0"/>
        <w:rPr>
          <w:rFonts w:ascii="Arial Narrow" w:hAnsi="Arial Narrow"/>
          <w:sz w:val="22"/>
        </w:rPr>
      </w:pPr>
      <w:r>
        <w:rPr>
          <w:rFonts w:ascii="Arial Narrow" w:hAnsi="Arial Narrow"/>
          <w:bCs/>
          <w:sz w:val="22"/>
          <w:szCs w:val="22"/>
        </w:rPr>
        <w:t>« La solution a dépassé toutes nos espérances t</w:t>
      </w:r>
      <w:r>
        <w:rPr>
          <w:rFonts w:ascii="Arial Narrow" w:hAnsi="Arial Narrow"/>
          <w:bCs/>
          <w:sz w:val="22"/>
          <w:szCs w:val="22"/>
        </w:rPr>
        <w:t xml:space="preserve">ant dans la rapidité de son déploiement que dans l’adhésion immédiate de nos collaborateurs. Pour répondre à la forte croissance du groupe au niveau international, nous devions impérativement identifier les talents et leur assurer un plan de développement </w:t>
      </w:r>
      <w:r>
        <w:rPr>
          <w:rFonts w:ascii="Arial Narrow" w:hAnsi="Arial Narrow"/>
          <w:bCs/>
          <w:sz w:val="22"/>
          <w:szCs w:val="22"/>
        </w:rPr>
        <w:t xml:space="preserve">en adéquation avec nos objectifs. La souplesse de la solution Jobpartners et sa modularité pour correspondre précisément à nos propres </w:t>
      </w:r>
      <w:r>
        <w:rPr>
          <w:rFonts w:ascii="Arial Narrow" w:hAnsi="Arial Narrow"/>
          <w:bCs/>
          <w:sz w:val="22"/>
          <w:szCs w:val="22"/>
        </w:rPr>
        <w:lastRenderedPageBreak/>
        <w:t>processus RH ont été des atouts essentiels pour la réussite de ce projet. De plus, la collaboration de Jobpartners dans l</w:t>
      </w:r>
      <w:r>
        <w:rPr>
          <w:rFonts w:ascii="Arial Narrow" w:hAnsi="Arial Narrow"/>
          <w:bCs/>
          <w:sz w:val="22"/>
          <w:szCs w:val="22"/>
        </w:rPr>
        <w:t>a conduite de ce projet nous a permis de déployer l’ensemble de la solution dans des délais records » , commente Thierry Parmentier, DRH de Technip.</w:t>
      </w:r>
    </w:p>
    <w:p w:rsidR="00000000" w:rsidRDefault="00B926B0">
      <w:pPr>
        <w:jc w:val="both"/>
        <w:rPr>
          <w:rFonts w:ascii="Arial Narrow" w:hAnsi="Arial Narrow"/>
          <w:sz w:val="22"/>
          <w:szCs w:val="22"/>
          <w:lang w:eastAsia="en-US"/>
        </w:rPr>
      </w:pPr>
    </w:p>
    <w:p w:rsidR="00000000" w:rsidRDefault="00B926B0">
      <w:pPr>
        <w:jc w:val="both"/>
        <w:rPr>
          <w:rFonts w:ascii="Arial Narrow" w:hAnsi="Arial Narrow"/>
          <w:sz w:val="22"/>
          <w:szCs w:val="22"/>
          <w:lang w:eastAsia="en-US"/>
        </w:rPr>
      </w:pPr>
    </w:p>
    <w:p w:rsidR="00000000" w:rsidRDefault="00B926B0">
      <w:pPr>
        <w:pStyle w:val="Titre2"/>
        <w:rPr>
          <w:rFonts w:ascii="Arial Narrow" w:hAnsi="Arial Narrow"/>
          <w:color w:val="auto"/>
        </w:rPr>
      </w:pPr>
      <w:r>
        <w:rPr>
          <w:rFonts w:ascii="Arial Narrow" w:hAnsi="Arial Narrow"/>
          <w:color w:val="auto"/>
        </w:rPr>
        <w:t>À propos de Technip</w:t>
      </w:r>
    </w:p>
    <w:p w:rsidR="00000000" w:rsidRDefault="00B926B0">
      <w:pPr>
        <w:jc w:val="both"/>
        <w:rPr>
          <w:rFonts w:ascii="Arial Narrow" w:hAnsi="Arial Narrow" w:cs="Courier New"/>
          <w:sz w:val="22"/>
          <w:szCs w:val="20"/>
        </w:rPr>
      </w:pPr>
      <w:r>
        <w:rPr>
          <w:rFonts w:ascii="Arial Narrow" w:hAnsi="Arial Narrow" w:cs="Courier New"/>
          <w:sz w:val="22"/>
          <w:szCs w:val="20"/>
        </w:rPr>
        <w:t>Technip, un leader mondial du management de projets, de l’ingénierie et de la constru</w:t>
      </w:r>
      <w:r>
        <w:rPr>
          <w:rFonts w:ascii="Arial Narrow" w:hAnsi="Arial Narrow" w:cs="Courier New"/>
          <w:sz w:val="22"/>
          <w:szCs w:val="20"/>
        </w:rPr>
        <w:t>ction pour l’industrie du pétrole et du gaz, propose un portefeuille étendu de solutions et de technologies innovantes.</w:t>
      </w:r>
    </w:p>
    <w:p w:rsidR="00000000" w:rsidRDefault="00B926B0">
      <w:pPr>
        <w:jc w:val="both"/>
        <w:rPr>
          <w:rFonts w:ascii="Arial Narrow" w:hAnsi="Arial Narrow" w:cs="Courier New"/>
          <w:sz w:val="22"/>
          <w:szCs w:val="20"/>
        </w:rPr>
      </w:pPr>
      <w:r>
        <w:rPr>
          <w:rFonts w:ascii="Arial Narrow" w:hAnsi="Arial Narrow" w:cs="Courier New"/>
          <w:sz w:val="22"/>
          <w:szCs w:val="20"/>
        </w:rPr>
        <w:t>Avec 23 000 personnes dans le monde, des capacités intégrées et une expertise reconnue dans les infrastructures sous-marines (Subsea), l</w:t>
      </w:r>
      <w:r>
        <w:rPr>
          <w:rFonts w:ascii="Arial Narrow" w:hAnsi="Arial Narrow" w:cs="Courier New"/>
          <w:sz w:val="22"/>
          <w:szCs w:val="20"/>
        </w:rPr>
        <w:t>es plates-formes en mer (Offshore) et les grandes unités de traitement à terre (Onshore), Technip est un acteur clé du développement de réponses durables aux défis du secteur de l’énergie au 21ème siècle.</w:t>
      </w:r>
    </w:p>
    <w:p w:rsidR="00000000" w:rsidRDefault="00B926B0">
      <w:pPr>
        <w:jc w:val="both"/>
        <w:rPr>
          <w:rFonts w:ascii="Arial Narrow" w:hAnsi="Arial Narrow" w:cs="Courier New"/>
          <w:sz w:val="22"/>
          <w:szCs w:val="20"/>
        </w:rPr>
      </w:pPr>
      <w:r>
        <w:rPr>
          <w:rFonts w:ascii="Arial Narrow" w:hAnsi="Arial Narrow" w:cs="Courier New"/>
          <w:sz w:val="22"/>
          <w:szCs w:val="20"/>
        </w:rPr>
        <w:t xml:space="preserve">Implanté dans 48 pays sur cinq continents, Technip </w:t>
      </w:r>
      <w:r>
        <w:rPr>
          <w:rFonts w:ascii="Arial Narrow" w:hAnsi="Arial Narrow" w:cs="Courier New"/>
          <w:sz w:val="22"/>
          <w:szCs w:val="20"/>
        </w:rPr>
        <w:t>dispose de centres opérationnels, d’installations industrielles (usines de fabrication, bases d’assemblage, chantier de construction) et d’une flotte de navires spécialisés dans l’installation de conduites et la construction sous-marine.</w:t>
      </w:r>
    </w:p>
    <w:p w:rsidR="00000000" w:rsidRDefault="00B926B0">
      <w:pPr>
        <w:jc w:val="both"/>
        <w:rPr>
          <w:rFonts w:ascii="Arial Narrow" w:hAnsi="Arial Narrow" w:cs="Courier New"/>
          <w:sz w:val="22"/>
          <w:szCs w:val="20"/>
          <w:lang w:eastAsia="en-US"/>
        </w:rPr>
      </w:pPr>
      <w:r>
        <w:rPr>
          <w:rFonts w:ascii="Arial Narrow" w:hAnsi="Arial Narrow" w:cs="Courier New"/>
          <w:sz w:val="22"/>
          <w:szCs w:val="20"/>
        </w:rPr>
        <w:t>L’action Technip e</w:t>
      </w:r>
      <w:r>
        <w:rPr>
          <w:rFonts w:ascii="Arial Narrow" w:hAnsi="Arial Narrow" w:cs="Courier New"/>
          <w:sz w:val="22"/>
          <w:szCs w:val="20"/>
        </w:rPr>
        <w:t>st cotée sur le marché NYSE Euronext Paris et sur le marché hors cote américain.</w:t>
      </w:r>
    </w:p>
    <w:p w:rsidR="00000000" w:rsidRDefault="00B926B0">
      <w:pPr>
        <w:rPr>
          <w:rFonts w:ascii="Arial Narrow" w:hAnsi="Arial Narrow"/>
          <w:sz w:val="22"/>
          <w:szCs w:val="22"/>
          <w:lang w:eastAsia="en-US"/>
        </w:rPr>
      </w:pPr>
    </w:p>
    <w:p w:rsidR="00000000" w:rsidRDefault="00B926B0">
      <w:pPr>
        <w:pStyle w:val="Titre2"/>
        <w:rPr>
          <w:rFonts w:ascii="Arial Narrow" w:hAnsi="Arial Narrow"/>
          <w:color w:val="auto"/>
        </w:rPr>
      </w:pPr>
      <w:r>
        <w:rPr>
          <w:rFonts w:ascii="Arial Narrow" w:hAnsi="Arial Narrow"/>
          <w:color w:val="auto"/>
        </w:rPr>
        <w:t xml:space="preserve">À propos de Jobpartners </w:t>
      </w:r>
    </w:p>
    <w:p w:rsidR="00000000" w:rsidRDefault="00B926B0">
      <w:pPr>
        <w:pStyle w:val="Default"/>
        <w:jc w:val="both"/>
        <w:rPr>
          <w:rFonts w:ascii="Arial Narrow" w:hAnsi="Arial Narrow"/>
          <w:color w:val="auto"/>
          <w:sz w:val="22"/>
          <w:szCs w:val="20"/>
          <w:lang w:val="fr-FR"/>
        </w:rPr>
      </w:pPr>
      <w:r>
        <w:rPr>
          <w:rFonts w:ascii="Arial Narrow" w:hAnsi="Arial Narrow"/>
          <w:color w:val="auto"/>
          <w:sz w:val="22"/>
          <w:szCs w:val="20"/>
          <w:lang w:val="fr-FR"/>
        </w:rPr>
        <w:t>Basée au Royaume-Uni et disposant de neuf bureaux en Europe et aux États-Unis, Jobpartners a été l'une des premières entreprises à se spécialiser exc</w:t>
      </w:r>
      <w:r>
        <w:rPr>
          <w:rFonts w:ascii="Arial Narrow" w:hAnsi="Arial Narrow"/>
          <w:color w:val="auto"/>
          <w:sz w:val="22"/>
          <w:szCs w:val="20"/>
          <w:lang w:val="fr-FR"/>
        </w:rPr>
        <w:t>lusivement dans la fourniture de solutions complètes et globales de gestion du capital humain et des talents dans le cadre du modèle SaaS (Software as a Service). Jobpartners aide les responsables ressources humaines à attirer, mettre en relation, développ</w:t>
      </w:r>
      <w:r>
        <w:rPr>
          <w:rFonts w:ascii="Arial Narrow" w:hAnsi="Arial Narrow"/>
          <w:color w:val="auto"/>
          <w:sz w:val="22"/>
          <w:szCs w:val="20"/>
          <w:lang w:val="fr-FR"/>
        </w:rPr>
        <w:t>er et retenir les collaborateurs dont leur organisation à besoin pour rester compétitive sur les marchés mondiaux actuels. Jobpartners, qui compte parmi ses clients des entreprises telles que Adidas, Groupe Carrefour, Deutsche Post DHL, Nationwide, Nike, R</w:t>
      </w:r>
      <w:r>
        <w:rPr>
          <w:rFonts w:ascii="Arial Narrow" w:hAnsi="Arial Narrow"/>
          <w:color w:val="auto"/>
          <w:sz w:val="22"/>
          <w:szCs w:val="20"/>
          <w:lang w:val="fr-FR"/>
        </w:rPr>
        <w:t xml:space="preserve">abobank Group et Xerox, propose des solutions de gestion du capital humain et des talents dans plus de 50 pays, dans tous les secteurs d'activité et en 28 langues. </w:t>
      </w:r>
    </w:p>
    <w:p w:rsidR="00000000" w:rsidRDefault="00B926B0">
      <w:pPr>
        <w:pStyle w:val="Default"/>
        <w:jc w:val="both"/>
        <w:rPr>
          <w:rFonts w:ascii="Arial Narrow" w:hAnsi="Arial Narrow"/>
          <w:color w:val="auto"/>
          <w:sz w:val="22"/>
          <w:szCs w:val="20"/>
          <w:lang w:val="fr-FR"/>
        </w:rPr>
      </w:pPr>
      <w:r>
        <w:rPr>
          <w:rFonts w:ascii="Arial Narrow" w:hAnsi="Arial Narrow"/>
          <w:color w:val="auto"/>
          <w:sz w:val="22"/>
          <w:szCs w:val="20"/>
          <w:lang w:val="fr-FR"/>
        </w:rPr>
        <w:t> Notre approche personnalisée de la gestion des ressources humaines contribue à créer une c</w:t>
      </w:r>
      <w:r>
        <w:rPr>
          <w:rFonts w:ascii="Arial Narrow" w:hAnsi="Arial Narrow"/>
          <w:color w:val="auto"/>
          <w:sz w:val="22"/>
          <w:szCs w:val="20"/>
          <w:lang w:val="fr-FR"/>
        </w:rPr>
        <w:t>ulture du "meilleur lieu de travail" efficace, agile et tourné vers la performance.</w:t>
      </w:r>
    </w:p>
    <w:p w:rsidR="00000000" w:rsidRDefault="00B926B0">
      <w:pPr>
        <w:pStyle w:val="Default"/>
        <w:jc w:val="both"/>
        <w:rPr>
          <w:rFonts w:ascii="Arial Narrow" w:hAnsi="Arial Narrow"/>
          <w:color w:val="auto"/>
          <w:sz w:val="22"/>
          <w:szCs w:val="20"/>
          <w:lang w:val="fr-FR"/>
        </w:rPr>
      </w:pPr>
      <w:r>
        <w:rPr>
          <w:rFonts w:ascii="Arial Narrow" w:hAnsi="Arial Narrow"/>
          <w:color w:val="auto"/>
          <w:sz w:val="22"/>
          <w:szCs w:val="20"/>
          <w:lang w:val="fr-FR"/>
        </w:rPr>
        <w:t xml:space="preserve">Pour de plus amples informations, consultez le site </w:t>
      </w:r>
      <w:hyperlink r:id="rId6" w:history="1">
        <w:r>
          <w:rPr>
            <w:rStyle w:val="Lienhypertexte"/>
            <w:rFonts w:ascii="Arial Narrow" w:hAnsi="Arial Narrow"/>
            <w:color w:val="auto"/>
            <w:sz w:val="22"/>
            <w:szCs w:val="20"/>
            <w:lang w:val="fr-FR"/>
          </w:rPr>
          <w:t>www.jobpartners.com</w:t>
        </w:r>
      </w:hyperlink>
      <w:r>
        <w:rPr>
          <w:rFonts w:ascii="Arial Narrow" w:hAnsi="Arial Narrow"/>
          <w:color w:val="auto"/>
          <w:sz w:val="22"/>
          <w:szCs w:val="20"/>
          <w:lang w:val="fr-FR"/>
        </w:rPr>
        <w:t>.</w:t>
      </w:r>
    </w:p>
    <w:p w:rsidR="00000000" w:rsidRDefault="00B926B0">
      <w:pPr>
        <w:pStyle w:val="Default"/>
        <w:rPr>
          <w:rFonts w:ascii="Arial Narrow" w:hAnsi="Arial Narrow"/>
          <w:b/>
          <w:bCs/>
          <w:color w:val="auto"/>
          <w:sz w:val="22"/>
          <w:szCs w:val="22"/>
          <w:lang w:val="fr-FR"/>
        </w:rPr>
      </w:pPr>
    </w:p>
    <w:p w:rsidR="00000000" w:rsidRDefault="00B926B0">
      <w:pPr>
        <w:pStyle w:val="Titre2"/>
        <w:rPr>
          <w:rFonts w:ascii="Arial Narrow" w:hAnsi="Arial Narrow"/>
          <w:color w:val="auto"/>
        </w:rPr>
      </w:pPr>
      <w:r>
        <w:rPr>
          <w:rFonts w:ascii="Arial Narrow" w:hAnsi="Arial Narrow"/>
          <w:color w:val="auto"/>
        </w:rPr>
        <w:t>Contacts Presse</w:t>
      </w:r>
    </w:p>
    <w:p w:rsidR="00000000" w:rsidRDefault="00B926B0">
      <w:pPr>
        <w:pStyle w:val="Commentaire"/>
        <w:tabs>
          <w:tab w:val="left" w:pos="5220"/>
          <w:tab w:val="left" w:pos="5580"/>
        </w:tabs>
        <w:autoSpaceDE w:val="0"/>
        <w:autoSpaceDN w:val="0"/>
        <w:adjustRightInd w:val="0"/>
        <w:jc w:val="both"/>
        <w:rPr>
          <w:rFonts w:ascii="Arial Narrow" w:hAnsi="Arial Narrow" w:cs="Arial"/>
          <w:snapToGrid/>
          <w:sz w:val="22"/>
          <w:lang w:val="fr-FR"/>
        </w:rPr>
      </w:pPr>
      <w:r>
        <w:rPr>
          <w:rFonts w:ascii="Arial Narrow" w:hAnsi="Arial Narrow" w:cs="Arial"/>
          <w:snapToGrid/>
          <w:sz w:val="22"/>
          <w:lang w:val="fr-FR"/>
        </w:rPr>
        <w:t xml:space="preserve">Louisa Aggoune </w:t>
      </w:r>
      <w:r>
        <w:rPr>
          <w:rFonts w:ascii="Arial Narrow" w:hAnsi="Arial Narrow" w:cs="Arial"/>
          <w:snapToGrid/>
          <w:sz w:val="22"/>
          <w:lang w:val="fr-FR"/>
        </w:rPr>
        <w:tab/>
      </w:r>
      <w:r>
        <w:rPr>
          <w:rFonts w:ascii="Arial Narrow" w:hAnsi="Arial Narrow" w:cs="Arial"/>
          <w:snapToGrid/>
          <w:sz w:val="22"/>
          <w:lang w:val="fr-FR"/>
        </w:rPr>
        <w:t>Audrey Boutron</w:t>
      </w:r>
    </w:p>
    <w:p w:rsidR="00000000" w:rsidRDefault="00B926B0">
      <w:pPr>
        <w:tabs>
          <w:tab w:val="left" w:pos="5220"/>
          <w:tab w:val="left" w:pos="5580"/>
        </w:tabs>
        <w:autoSpaceDE w:val="0"/>
        <w:autoSpaceDN w:val="0"/>
        <w:adjustRightInd w:val="0"/>
        <w:jc w:val="both"/>
        <w:rPr>
          <w:rFonts w:ascii="Arial Narrow" w:hAnsi="Arial Narrow" w:cs="Arial"/>
          <w:sz w:val="22"/>
          <w:szCs w:val="20"/>
          <w:lang w:val="en-GB"/>
        </w:rPr>
      </w:pPr>
      <w:r>
        <w:rPr>
          <w:rFonts w:ascii="Arial Narrow" w:hAnsi="Arial Narrow" w:cs="Arial"/>
          <w:sz w:val="22"/>
          <w:szCs w:val="20"/>
          <w:lang w:val="en-GB"/>
        </w:rPr>
        <w:t>Marketi</w:t>
      </w:r>
      <w:r>
        <w:rPr>
          <w:rFonts w:ascii="Arial Narrow" w:hAnsi="Arial Narrow" w:cs="Arial"/>
          <w:sz w:val="22"/>
          <w:szCs w:val="20"/>
          <w:lang w:val="en-GB"/>
        </w:rPr>
        <w:t>ng Manager</w:t>
      </w:r>
      <w:r>
        <w:rPr>
          <w:rFonts w:ascii="Arial Narrow" w:hAnsi="Arial Narrow" w:cs="Arial"/>
          <w:sz w:val="22"/>
          <w:szCs w:val="20"/>
          <w:lang w:val="en-GB"/>
        </w:rPr>
        <w:tab/>
        <w:t>Agence Lindecker</w:t>
      </w:r>
    </w:p>
    <w:p w:rsidR="00000000" w:rsidRDefault="00B926B0">
      <w:pPr>
        <w:pStyle w:val="Commentaire"/>
        <w:tabs>
          <w:tab w:val="left" w:pos="5220"/>
          <w:tab w:val="left" w:pos="5580"/>
        </w:tabs>
        <w:autoSpaceDE w:val="0"/>
        <w:autoSpaceDN w:val="0"/>
        <w:adjustRightInd w:val="0"/>
        <w:jc w:val="both"/>
        <w:rPr>
          <w:rFonts w:ascii="Arial Narrow" w:hAnsi="Arial Narrow" w:cs="Arial"/>
          <w:snapToGrid/>
          <w:sz w:val="22"/>
        </w:rPr>
      </w:pPr>
      <w:r>
        <w:rPr>
          <w:rFonts w:ascii="Arial Narrow" w:hAnsi="Arial Narrow" w:cs="Arial"/>
          <w:snapToGrid/>
          <w:sz w:val="22"/>
        </w:rPr>
        <w:t>T. : 01 46 37 85 20</w:t>
      </w:r>
      <w:r>
        <w:rPr>
          <w:rFonts w:ascii="Arial Narrow" w:hAnsi="Arial Narrow" w:cs="Arial"/>
          <w:snapToGrid/>
          <w:sz w:val="22"/>
        </w:rPr>
        <w:tab/>
        <w:t xml:space="preserve">T. : 01 47 01 71 26 – 06 12 82 17 39 </w:t>
      </w:r>
      <w:r>
        <w:rPr>
          <w:rFonts w:ascii="Arial Narrow" w:hAnsi="Arial Narrow" w:cs="Arial"/>
          <w:snapToGrid/>
          <w:sz w:val="22"/>
        </w:rPr>
        <w:tab/>
      </w:r>
    </w:p>
    <w:p w:rsidR="00B926B0" w:rsidRDefault="00B926B0">
      <w:pPr>
        <w:pStyle w:val="Titre2"/>
        <w:rPr>
          <w:rFonts w:ascii="Arial Narrow" w:hAnsi="Arial Narrow"/>
          <w:color w:val="auto"/>
          <w:lang w:val="en-GB"/>
        </w:rPr>
      </w:pPr>
      <w:hyperlink r:id="rId7" w:history="1">
        <w:r>
          <w:rPr>
            <w:rStyle w:val="Lienhypertexte"/>
            <w:rFonts w:ascii="Arial Narrow" w:eastAsia="Times New Roman" w:hAnsi="Arial Narrow" w:cs="Arial"/>
            <w:snapToGrid/>
            <w:color w:val="auto"/>
            <w:szCs w:val="20"/>
            <w:lang w:val="en-GB" w:eastAsia="fr-FR"/>
          </w:rPr>
          <w:t>louisa.aggoune@jobpartners.com</w:t>
        </w:r>
      </w:hyperlink>
      <w:r>
        <w:rPr>
          <w:rFonts w:ascii="Arial Narrow" w:eastAsia="Times New Roman" w:hAnsi="Arial Narrow" w:cs="Arial"/>
          <w:snapToGrid/>
          <w:color w:val="auto"/>
          <w:szCs w:val="20"/>
          <w:u w:val="none"/>
          <w:lang w:val="en-GB" w:eastAsia="fr-FR"/>
        </w:rPr>
        <w:tab/>
      </w:r>
      <w:r>
        <w:rPr>
          <w:rFonts w:ascii="Arial Narrow" w:eastAsia="Times New Roman" w:hAnsi="Arial Narrow" w:cs="Arial"/>
          <w:snapToGrid/>
          <w:color w:val="auto"/>
          <w:szCs w:val="20"/>
          <w:u w:val="none"/>
          <w:lang w:val="en-GB" w:eastAsia="fr-FR"/>
        </w:rPr>
        <w:tab/>
      </w:r>
      <w:r>
        <w:rPr>
          <w:rFonts w:ascii="Arial Narrow" w:eastAsia="Times New Roman" w:hAnsi="Arial Narrow" w:cs="Arial"/>
          <w:snapToGrid/>
          <w:color w:val="auto"/>
          <w:szCs w:val="20"/>
          <w:u w:val="none"/>
          <w:lang w:val="en-GB" w:eastAsia="fr-FR"/>
        </w:rPr>
        <w:tab/>
        <w:t xml:space="preserve">  </w:t>
      </w:r>
      <w:r>
        <w:rPr>
          <w:rFonts w:ascii="Arial Narrow" w:eastAsia="Times New Roman" w:hAnsi="Arial Narrow" w:cs="Arial"/>
          <w:snapToGrid/>
          <w:color w:val="auto"/>
          <w:szCs w:val="20"/>
          <w:lang w:val="en-GB" w:eastAsia="fr-FR"/>
        </w:rPr>
        <w:t xml:space="preserve"> </w:t>
      </w:r>
      <w:hyperlink r:id="rId8" w:history="1">
        <w:r>
          <w:rPr>
            <w:rStyle w:val="Lienhypertexte"/>
            <w:rFonts w:ascii="Arial Narrow" w:eastAsia="Times New Roman" w:hAnsi="Arial Narrow" w:cs="Arial"/>
            <w:snapToGrid/>
            <w:color w:val="auto"/>
            <w:szCs w:val="20"/>
            <w:lang w:val="en-GB" w:eastAsia="fr-FR"/>
          </w:rPr>
          <w:t>aboutron@lindecker.fr</w:t>
        </w:r>
      </w:hyperlink>
    </w:p>
    <w:sectPr w:rsidR="00B926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436B6"/>
    <w:multiLevelType w:val="hybridMultilevel"/>
    <w:tmpl w:val="D0223318"/>
    <w:lvl w:ilvl="0" w:tplc="C0E8327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13C"/>
    <w:rsid w:val="0009713C"/>
    <w:rsid w:val="00B926B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pPr>
      <w:keepNext/>
      <w:jc w:val="both"/>
      <w:outlineLvl w:val="1"/>
    </w:pPr>
    <w:rPr>
      <w:rFonts w:ascii="Trebuchet MS" w:eastAsia="MS Mincho" w:hAnsi="Trebuchet MS"/>
      <w:b/>
      <w:bCs/>
      <w:snapToGrid w:val="0"/>
      <w:color w:val="7AB2DD"/>
      <w:sz w:val="22"/>
      <w:u w:val="single"/>
      <w:lang w:eastAsia="ja-JP"/>
    </w:rPr>
  </w:style>
  <w:style w:type="paragraph" w:styleId="Titre4">
    <w:name w:val="heading 4"/>
    <w:basedOn w:val="Normal"/>
    <w:next w:val="Normal"/>
    <w:qFormat/>
    <w:pPr>
      <w:keepNext/>
      <w:jc w:val="center"/>
      <w:outlineLvl w:val="3"/>
    </w:pPr>
    <w:rPr>
      <w:rFonts w:ascii="Trebuchet MS" w:eastAsia="MS Mincho" w:hAnsi="Trebuchet MS"/>
      <w:b/>
      <w:snapToGrid w:val="0"/>
      <w:color w:val="2D478A"/>
      <w:sz w:val="28"/>
      <w:lang w:val="en-GB" w:eastAsia="ja-JP"/>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center"/>
    </w:pPr>
    <w:rPr>
      <w:rFonts w:ascii="Trebuchet MS" w:eastAsia="MS Mincho" w:hAnsi="Trebuchet MS"/>
      <w:i/>
      <w:snapToGrid w:val="0"/>
      <w:sz w:val="22"/>
      <w:lang w:eastAsia="ja-JP"/>
    </w:rPr>
  </w:style>
  <w:style w:type="paragraph" w:customStyle="1" w:styleId="Default">
    <w:name w:val="Default"/>
    <w:pPr>
      <w:autoSpaceDE w:val="0"/>
      <w:autoSpaceDN w:val="0"/>
      <w:adjustRightInd w:val="0"/>
    </w:pPr>
    <w:rPr>
      <w:rFonts w:ascii="Trebuchet MS" w:hAnsi="Trebuchet MS"/>
      <w:color w:val="000000"/>
      <w:sz w:val="24"/>
      <w:szCs w:val="24"/>
      <w:lang w:val="en-US" w:eastAsia="en-US"/>
    </w:rPr>
  </w:style>
  <w:style w:type="character" w:styleId="Lienhypertexte">
    <w:name w:val="Hyperlink"/>
    <w:basedOn w:val="Policepardfaut"/>
    <w:semiHidden/>
    <w:rPr>
      <w:color w:val="0000FF"/>
      <w:u w:val="single"/>
    </w:rPr>
  </w:style>
  <w:style w:type="paragraph" w:styleId="Corpsdetexte2">
    <w:name w:val="Body Text 2"/>
    <w:basedOn w:val="Normal"/>
    <w:semiHidden/>
    <w:pPr>
      <w:autoSpaceDE w:val="0"/>
      <w:autoSpaceDN w:val="0"/>
      <w:adjustRightInd w:val="0"/>
    </w:pPr>
    <w:rPr>
      <w:rFonts w:ascii="Trebuchet MS" w:hAnsi="Trebuchet MS" w:cs="Courier New"/>
      <w:sz w:val="20"/>
      <w:szCs w:val="20"/>
    </w:rPr>
  </w:style>
  <w:style w:type="character" w:styleId="lev">
    <w:name w:val="Strong"/>
    <w:basedOn w:val="Policepardfaut"/>
    <w:qFormat/>
    <w:rPr>
      <w:rFonts w:cs="Times New Roman"/>
      <w:b/>
      <w:bCs/>
    </w:rPr>
  </w:style>
  <w:style w:type="character" w:styleId="Lienhypertextesuivivisit">
    <w:name w:val="FollowedHyperlink"/>
    <w:basedOn w:val="Policepardfaut"/>
    <w:semiHidden/>
    <w:rPr>
      <w:color w:val="800080"/>
      <w:u w:val="single"/>
    </w:rPr>
  </w:style>
  <w:style w:type="paragraph" w:styleId="Commentaire">
    <w:name w:val="annotation text"/>
    <w:basedOn w:val="Normal"/>
    <w:semiHidden/>
    <w:rPr>
      <w:rFonts w:ascii="Times" w:hAnsi="Times"/>
      <w:snapToGrid w:val="0"/>
      <w:sz w:val="20"/>
      <w:szCs w:val="20"/>
      <w:lang w:val="en-GB" w:eastAsia="ja-JP"/>
    </w:rPr>
  </w:style>
  <w:style w:type="paragraph" w:styleId="Corpsdetexte3">
    <w:name w:val="Body Text 3"/>
    <w:basedOn w:val="Normal"/>
    <w:semiHidden/>
    <w:pPr>
      <w:jc w:val="both"/>
    </w:pPr>
    <w:rPr>
      <w:rFonts w:ascii="Trebuchet MS" w:hAnsi="Trebuchet MS"/>
      <w:bCs/>
      <w:i/>
      <w:iCs/>
      <w:color w:val="000000"/>
      <w:sz w:val="22"/>
      <w:szCs w:val="22"/>
    </w:rPr>
  </w:style>
  <w:style w:type="paragraph" w:customStyle="1"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outron@lindecker.fr" TargetMode="External"/><Relationship Id="rId3" Type="http://schemas.openxmlformats.org/officeDocument/2006/relationships/settings" Target="settings.xml"/><Relationship Id="rId7" Type="http://schemas.openxmlformats.org/officeDocument/2006/relationships/hyperlink" Target="mailto:louisa.aggoune@job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bpartner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5316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Rapport annuel de la Halde (Haute autorité de lutte contre les discriminations et pour l'égalité) : </vt:lpstr>
    </vt:vector>
  </TitlesOfParts>
  <Company> </Company>
  <LinksUpToDate>false</LinksUpToDate>
  <CharactersWithSpaces>6270</CharactersWithSpaces>
  <SharedDoc>false</SharedDoc>
  <HLinks>
    <vt:vector size="24" baseType="variant">
      <vt:variant>
        <vt:i4>6291545</vt:i4>
      </vt:variant>
      <vt:variant>
        <vt:i4>6</vt:i4>
      </vt:variant>
      <vt:variant>
        <vt:i4>0</vt:i4>
      </vt:variant>
      <vt:variant>
        <vt:i4>5</vt:i4>
      </vt:variant>
      <vt:variant>
        <vt:lpwstr>mailto:aboutron@lindecker.fr</vt:lpwstr>
      </vt:variant>
      <vt:variant>
        <vt:lpwstr/>
      </vt:variant>
      <vt:variant>
        <vt:i4>3145811</vt:i4>
      </vt:variant>
      <vt:variant>
        <vt:i4>3</vt:i4>
      </vt:variant>
      <vt:variant>
        <vt:i4>0</vt:i4>
      </vt:variant>
      <vt:variant>
        <vt:i4>5</vt:i4>
      </vt:variant>
      <vt:variant>
        <vt:lpwstr>mailto:louisa.aggoune@jobpartners.com</vt:lpwstr>
      </vt:variant>
      <vt:variant>
        <vt:lpwstr/>
      </vt:variant>
      <vt:variant>
        <vt:i4>3014752</vt:i4>
      </vt:variant>
      <vt:variant>
        <vt:i4>0</vt:i4>
      </vt:variant>
      <vt:variant>
        <vt:i4>0</vt:i4>
      </vt:variant>
      <vt:variant>
        <vt:i4>5</vt:i4>
      </vt:variant>
      <vt:variant>
        <vt:lpwstr>http://www.jobpartners.com/</vt:lpwstr>
      </vt:variant>
      <vt:variant>
        <vt:lpwstr/>
      </vt:variant>
      <vt:variant>
        <vt:i4>8192112</vt:i4>
      </vt:variant>
      <vt:variant>
        <vt:i4>-1</vt:i4>
      </vt:variant>
      <vt:variant>
        <vt:i4>1026</vt:i4>
      </vt:variant>
      <vt:variant>
        <vt:i4>1</vt:i4>
      </vt:variant>
      <vt:variant>
        <vt:lpwstr>JP+logo[1]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annuel de la Halde (Haute autorité de lutte contre les discriminations et pour l'égalité) : </dc:title>
  <dc:subject/>
  <dc:creator>boutron</dc:creator>
  <cp:keywords/>
  <dc:description/>
  <cp:lastModifiedBy>carole blancot</cp:lastModifiedBy>
  <cp:revision>2</cp:revision>
  <cp:lastPrinted>2010-06-03T10:40:00Z</cp:lastPrinted>
  <dcterms:created xsi:type="dcterms:W3CDTF">2010-06-09T14:37:00Z</dcterms:created>
  <dcterms:modified xsi:type="dcterms:W3CDTF">2010-06-09T14:37:00Z</dcterms:modified>
</cp:coreProperties>
</file>